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-798195</wp:posOffset>
            </wp:positionH>
            <wp:positionV relativeFrom="paragraph">
              <wp:posOffset>-505460</wp:posOffset>
            </wp:positionV>
            <wp:extent cx="7555865" cy="205295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numPr>
          <w:ilvl w:val="0"/>
          <w:numId w:val="0"/>
        </w:numPr>
        <w:spacing w:lineRule="auto" w:line="240"/>
        <w:outlineLvl w:val="0"/>
        <w:rPr/>
      </w:pPr>
      <w:r>
        <w:rPr>
          <w:b/>
          <w:bCs/>
        </w:rPr>
        <w:t>Опросный лист для подбора дизель-генераторной электростанции</w:t>
      </w:r>
    </w:p>
    <w:p>
      <w:pPr>
        <w:pStyle w:val="Style16"/>
        <w:spacing w:lineRule="auto" w:line="240"/>
        <w:jc w:val="left"/>
        <w:rPr>
          <w:sz w:val="20"/>
        </w:rPr>
      </w:pPr>
      <w:r>
        <w:rPr>
          <w:sz w:val="20"/>
        </w:rPr>
      </w:r>
    </w:p>
    <w:p>
      <w:pPr>
        <w:pStyle w:val="Style16"/>
        <w:numPr>
          <w:ilvl w:val="0"/>
          <w:numId w:val="0"/>
        </w:numPr>
        <w:tabs>
          <w:tab w:val="clear" w:pos="708"/>
          <w:tab w:val="left" w:pos="2628" w:leader="none"/>
          <w:tab w:val="left" w:pos="5688" w:leader="none"/>
        </w:tabs>
        <w:spacing w:lineRule="auto" w:line="240"/>
        <w:jc w:val="left"/>
        <w:outlineLvl w:val="0"/>
        <w:rPr>
          <w:sz w:val="24"/>
        </w:rPr>
      </w:pPr>
      <w:r>
        <w:rPr>
          <w:sz w:val="24"/>
        </w:rPr>
        <w:t>Номер документа: _________________________</w:t>
      </w:r>
    </w:p>
    <w:p>
      <w:pPr>
        <w:pStyle w:val="Style16"/>
        <w:tabs>
          <w:tab w:val="clear" w:pos="708"/>
          <w:tab w:val="left" w:pos="2628" w:leader="none"/>
          <w:tab w:val="left" w:pos="5688" w:leader="none"/>
        </w:tabs>
        <w:spacing w:lineRule="auto" w:line="240"/>
        <w:jc w:val="left"/>
        <w:rPr>
          <w:sz w:val="24"/>
        </w:rPr>
      </w:pPr>
      <w:r>
        <w:rPr>
          <w:sz w:val="24"/>
        </w:rPr>
        <w:t>Дата заполнения: __________________________</w:t>
      </w:r>
    </w:p>
    <w:p>
      <w:pPr>
        <w:pStyle w:val="Style16"/>
        <w:tabs>
          <w:tab w:val="clear" w:pos="708"/>
          <w:tab w:val="left" w:pos="2628" w:leader="none"/>
          <w:tab w:val="left" w:pos="5688" w:leader="none"/>
        </w:tabs>
        <w:spacing w:lineRule="auto" w:line="240"/>
        <w:jc w:val="left"/>
        <w:rPr>
          <w:sz w:val="24"/>
        </w:rPr>
      </w:pPr>
      <w:r>
        <w:rPr>
          <w:sz w:val="24"/>
        </w:rPr>
        <w:t>Страна: __________________________________</w:t>
      </w:r>
    </w:p>
    <w:p>
      <w:pPr>
        <w:pStyle w:val="Style16"/>
        <w:tabs>
          <w:tab w:val="clear" w:pos="708"/>
          <w:tab w:val="left" w:pos="2628" w:leader="none"/>
          <w:tab w:val="left" w:pos="5688" w:leader="none"/>
        </w:tabs>
        <w:spacing w:lineRule="auto" w:line="240"/>
        <w:jc w:val="left"/>
        <w:rPr>
          <w:sz w:val="24"/>
        </w:rPr>
      </w:pPr>
      <w:r>
        <w:rPr>
          <w:sz w:val="24"/>
        </w:rPr>
        <w:t>Регион (область): __________________________</w:t>
      </w:r>
    </w:p>
    <w:p>
      <w:pPr>
        <w:pStyle w:val="Style16"/>
        <w:tabs>
          <w:tab w:val="clear" w:pos="708"/>
          <w:tab w:val="left" w:pos="2628" w:leader="none"/>
          <w:tab w:val="left" w:pos="5688" w:leader="none"/>
        </w:tabs>
        <w:spacing w:lineRule="auto" w:line="240"/>
        <w:jc w:val="left"/>
        <w:rPr>
          <w:sz w:val="24"/>
        </w:rPr>
      </w:pPr>
      <w:r>
        <w:rPr>
          <w:sz w:val="24"/>
        </w:rPr>
        <w:t>Город: ___________________________________</w:t>
      </w:r>
    </w:p>
    <w:p>
      <w:pPr>
        <w:pStyle w:val="Style16"/>
        <w:tabs>
          <w:tab w:val="clear" w:pos="708"/>
          <w:tab w:val="left" w:pos="2628" w:leader="none"/>
          <w:tab w:val="left" w:pos="5688" w:leader="none"/>
        </w:tabs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1. Информация о клиенте.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320"/>
        <w:gridCol w:w="4604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Клиент / покупатель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Сфера деятельности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Контактный адрес: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Е-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 информация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2. Географические и климатические условия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5580"/>
        <w:gridCol w:w="3344"/>
      </w:tblGrid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Высота над уровнем моря, 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Диапазон изменения температуры в месте эксплуатации, за год: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максимальная, </w:t>
            </w:r>
            <w:r>
              <w:rPr>
                <w:rFonts w:eastAsia="Symbol" w:cs="Symbol" w:ascii="Symbol" w:hAnsi="Symbol"/>
                <w:sz w:val="24"/>
              </w:rPr>
              <w:t>°</w:t>
            </w:r>
            <w:r>
              <w:rPr>
                <w:sz w:val="24"/>
              </w:rPr>
              <w:t>С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минимальная, </w:t>
            </w:r>
            <w:r>
              <w:rPr>
                <w:rFonts w:eastAsia="Symbol" w:cs="Symbol" w:ascii="Symbol" w:hAnsi="Symbol"/>
                <w:sz w:val="24"/>
              </w:rPr>
              <w:t>°</w:t>
            </w:r>
            <w:r>
              <w:rPr>
                <w:sz w:val="24"/>
              </w:rPr>
              <w:t>С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средняя за лето, за зиму, </w:t>
            </w:r>
            <w:r>
              <w:rPr>
                <w:rFonts w:eastAsia="Symbol" w:cs="Symbol" w:ascii="Symbol" w:hAnsi="Symbol"/>
                <w:sz w:val="24"/>
              </w:rPr>
              <w:t>°</w:t>
            </w:r>
            <w:r>
              <w:rPr>
                <w:sz w:val="24"/>
              </w:rPr>
              <w:t>С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3"/>
              </w:rPr>
            </w:pPr>
            <w:r>
              <w:rPr>
                <w:sz w:val="23"/>
              </w:rPr>
              <w:t>Максимальная относительная влажность воздуха,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Запылённость, 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Другие особенности погоды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3. Параметры нагрузки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5220"/>
        <w:gridCol w:w="3704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Мощность нагрузки, кВт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Напряжение, В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Cos</w:t>
            </w:r>
            <w:r>
              <w:rPr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i/>
                <w:iCs/>
                <w:sz w:val="24"/>
                <w:lang w:val="en-US"/>
              </w:rPr>
              <w:t>f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Характер нагрузки (АД, статические преобразователи, импульсная нагрузка, др.)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>
          <w:trHeight w:val="434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Величина пусковых токов, 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>
          <w:trHeight w:val="359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Максимально-пиковая нагрузка, кВт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>
          <w:trHeight w:val="35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Минимальная нагрузка, кВт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2"/>
              </w:rPr>
            </w:pPr>
            <w:r>
              <w:rPr>
                <w:sz w:val="22"/>
              </w:rPr>
              <w:t>Приложить графики нагрузки: суточные, сезонные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Другое (пояснить)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b/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4. Режим работы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319"/>
        <w:gridCol w:w="468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Основной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Резервный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Аварийный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Параллельная работа с: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электросетью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другим агрегатом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5. Внешние системы электроснабжения</w:t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860"/>
        <w:gridCol w:w="414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Удалённость электростанции от потребителей, м.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Линии соединения нагрузки с электростанцией: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тип (воздушные / кабельные)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линий, уровень напряжения, 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Другое (пояснить)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6. Тип применяемого топлива</w:t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860"/>
        <w:gridCol w:w="414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Дизельное топливо (указать тип и ГОСТ)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Способ подачи топлива в расходный бак: автоматический / ручной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7. Параметры дизельной электростанции</w:t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860"/>
        <w:gridCol w:w="414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Мощность, кВт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Напряжение, 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Время пуска из прогретого состояния, сек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Способ пуска (стартёрный, пневмопуск)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Степень автоматизации по ГОСТ 10032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Параллельная работа: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автоматическая синхронизация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ручная синхронизация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Максимально допустимый вес агрегата, т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Другая информация по обслуживанию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8. Исполнение</w:t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860"/>
        <w:gridCol w:w="414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Стационарное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Блочно-контейнерное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9. Система охлаждения</w:t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860"/>
        <w:gridCol w:w="414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Радиаторная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Двух контурная: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источник воды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температура входящей воды, </w:t>
            </w:r>
            <w:r>
              <w:rPr>
                <w:rFonts w:eastAsia="Symbol" w:cs="Symbol" w:ascii="Symbol" w:hAnsi="Symbol"/>
                <w:sz w:val="24"/>
              </w:rPr>
              <w:t>°</w:t>
            </w:r>
            <w:r>
              <w:rPr>
                <w:sz w:val="24"/>
              </w:rPr>
              <w:t>С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Другие особенности (пояснить)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lineRule="auto" w:line="240"/>
        <w:jc w:val="left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Style16"/>
        <w:numPr>
          <w:ilvl w:val="0"/>
          <w:numId w:val="0"/>
        </w:numPr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10. Ввод в эксплуатацию</w:t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4860"/>
        <w:gridCol w:w="414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sz w:val="24"/>
              </w:rPr>
            </w:pPr>
            <w:r>
              <w:rPr>
                <w:sz w:val="24"/>
              </w:rPr>
              <w:t>Дата ввода в эксплуатацию электростанции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Дополнения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tabs>
          <w:tab w:val="clear" w:pos="708"/>
          <w:tab w:val="left" w:pos="900" w:leader="none"/>
        </w:tabs>
        <w:spacing w:lineRule="auto" w:line="24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16"/>
        <w:tabs>
          <w:tab w:val="clear" w:pos="708"/>
          <w:tab w:val="left" w:pos="900" w:leader="none"/>
        </w:tabs>
        <w:spacing w:lineRule="auto" w:line="24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16"/>
        <w:numPr>
          <w:ilvl w:val="0"/>
          <w:numId w:val="0"/>
        </w:numPr>
        <w:tabs>
          <w:tab w:val="clear" w:pos="708"/>
          <w:tab w:val="left" w:pos="900" w:leader="none"/>
        </w:tabs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11. Сервис и обслуживание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6109"/>
        <w:gridCol w:w="2892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Шеф-монтаж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Обучение обслуживающего персонала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Послегарантийное обслуживание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Необходимость в комплексном обследовании (энерготехнологическом аудите) объекта заказчика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Поставка ЗИП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Другие услуги и пожелания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tabs>
          <w:tab w:val="clear" w:pos="708"/>
          <w:tab w:val="left" w:pos="900" w:leader="none"/>
        </w:tabs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numPr>
          <w:ilvl w:val="0"/>
          <w:numId w:val="0"/>
        </w:numPr>
        <w:tabs>
          <w:tab w:val="clear" w:pos="708"/>
          <w:tab w:val="left" w:pos="900" w:leader="none"/>
        </w:tabs>
        <w:spacing w:lineRule="auto" w:line="240"/>
        <w:jc w:val="left"/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Раздел 12. Возможные опции</w:t>
      </w:r>
    </w:p>
    <w:tbl>
      <w:tblPr>
        <w:tblW w:w="97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6"/>
        <w:gridCol w:w="5039"/>
        <w:gridCol w:w="3961"/>
      </w:tblGrid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Система утилизации тепла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ind w:left="900" w:hanging="900"/>
              <w:jc w:val="left"/>
              <w:rPr>
                <w:sz w:val="24"/>
              </w:rPr>
            </w:pPr>
            <w:r>
              <w:rPr>
                <w:sz w:val="24"/>
              </w:rPr>
              <w:t>Подогрев масла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ind w:left="900" w:hanging="900"/>
              <w:jc w:val="left"/>
              <w:rPr>
                <w:sz w:val="24"/>
              </w:rPr>
            </w:pPr>
            <w:r>
              <w:rPr>
                <w:sz w:val="24"/>
              </w:rPr>
              <w:t>Подогрев охлаждающей жидкости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Повышающий трансформатор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Дистанционный пульт управления дизельной электростанцией (по проводам, радио, вывод на ЭВМ)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Дистанционный контроль основных параметров (по проводам, радио, вывод на ЭВМ)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Устройство АВР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Глушитель, </w:t>
            </w:r>
            <w:r>
              <w:rPr>
                <w:sz w:val="24"/>
                <w:lang w:val="en-US"/>
              </w:rPr>
              <w:t>dB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Тропическое исполнение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Северное исполнение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Сепаратор жидкого топлива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Воздушный фильтр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Дополнительный комплект ЗИП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Дополнительный топливный бак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Резервуар для топлива, масла, воды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12.16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  <w:t>Бак перелива масла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12.17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2"/>
              </w:rPr>
            </w:pPr>
            <w:r>
              <w:rPr>
                <w:sz w:val="22"/>
              </w:rPr>
              <w:t>Электронасос для подкачки топлива и закачки масла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rPr>
                <w:sz w:val="24"/>
              </w:rPr>
            </w:pPr>
            <w:r>
              <w:rPr>
                <w:sz w:val="24"/>
              </w:rPr>
              <w:t>12.18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2"/>
              </w:rPr>
            </w:pPr>
            <w:r>
              <w:rPr>
                <w:sz w:val="22"/>
              </w:rPr>
              <w:t>Насосами ручными поршневыми для закачки масла, воды, топлива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900" w:leader="none"/>
              </w:tabs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tabs>
          <w:tab w:val="clear" w:pos="708"/>
          <w:tab w:val="left" w:pos="900" w:leader="none"/>
        </w:tabs>
        <w:spacing w:lineRule="auto" w:line="24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jc w:val="left"/>
        <w:rPr>
          <w:sz w:val="24"/>
        </w:rPr>
      </w:pPr>
      <w:r>
        <w:rPr>
          <w:sz w:val="24"/>
        </w:rPr>
        <w:t>Дополнительные требования к дизельной электростанции: _____________________________</w:t>
      </w:r>
    </w:p>
    <w:p>
      <w:pPr>
        <w:pStyle w:val="Style16"/>
        <w:jc w:val="left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>
      <w:pPr>
        <w:pStyle w:val="Style16"/>
        <w:jc w:val="left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>
      <w:pPr>
        <w:pStyle w:val="Style16"/>
        <w:jc w:val="left"/>
        <w:rPr>
          <w:sz w:val="24"/>
        </w:rPr>
      </w:pPr>
      <w:r>
        <w:rPr>
          <w:sz w:val="24"/>
        </w:rPr>
      </w:r>
    </w:p>
    <w:p>
      <w:pPr>
        <w:pStyle w:val="Style16"/>
        <w:jc w:val="left"/>
        <w:rPr>
          <w:sz w:val="24"/>
        </w:rPr>
      </w:pPr>
      <w:r>
        <w:rPr>
          <w:sz w:val="24"/>
        </w:rPr>
        <w:t>Подпись лица, заполнившего опросный лист ___________________________/____________/</w:t>
      </w:r>
    </w:p>
    <w:p>
      <w:pPr>
        <w:pStyle w:val="Style16"/>
        <w:jc w:val="left"/>
        <w:rPr>
          <w:sz w:val="24"/>
        </w:rPr>
      </w:pPr>
      <w:r>
        <w:rPr>
          <w:sz w:val="24"/>
        </w:rPr>
        <w:t>Должность _________________________________________________________</w:t>
      </w:r>
    </w:p>
    <w:p>
      <w:pPr>
        <w:pStyle w:val="Style16"/>
        <w:jc w:val="left"/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tabs>
          <w:tab w:val="clear" w:pos="708"/>
          <w:tab w:val="left" w:pos="9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Пояснения по вариантам автоматизации и климатического исполнения</w:t>
      </w:r>
    </w:p>
    <w:p>
      <w:pPr>
        <w:pStyle w:val="Style16"/>
        <w:tabs>
          <w:tab w:val="clear" w:pos="708"/>
          <w:tab w:val="left" w:pos="90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в соответствии с ГОСТ.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Основные технические требования к автоматизации процессов управления и обслуживания агрегатов устанавливаются ГОСТом 14228-80 «Дизели и газовые двигатели автоматизированные. Классификация по объёму автоматизации».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Настоящий стандарт распространяется на автоматизированные судовые, тепловозные и промышленные дизели, газовые двигатели, газомотокомпрессоры, агрегаты на базе дизелей и газовых двигателей и устанавливает их классификацию в зависимости от объёма автоматизированных и автоматически выполняемых операций и времени необслуживаемой работы.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В зависимости от назначения и условий работы агрегаты могут иметь четыре степени автоматизации. Расшифровка различий между степенями автоматизации приведена в таблице 1.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right"/>
        <w:rPr>
          <w:sz w:val="24"/>
        </w:rPr>
      </w:pPr>
      <w:r>
        <w:rPr>
          <w:sz w:val="24"/>
        </w:rPr>
        <w:t>Таблица 1.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7"/>
        <w:gridCol w:w="7698"/>
      </w:tblGrid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степени автоматизации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Операции, соответствующие данной степени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426" w:hanging="142"/>
              <w:jc w:val="center"/>
              <w:rPr/>
            </w:pPr>
            <w:r>
              <w:rPr/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369"/>
              <w:rPr/>
            </w:pPr>
            <w:r>
              <w:rPr/>
              <w:t>автоматическое регулирование частоты вращения.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369"/>
              <w:rPr/>
            </w:pPr>
            <w:r>
              <w:rPr/>
              <w:t>автоматическое регулирование температуры в системах охлаждения и (или) смазки.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369"/>
              <w:rPr/>
            </w:pPr>
            <w:r>
              <w:rPr/>
              <w:t>местное и (или) дистанционное управление пуском, остановом, предпусковыми и остановочными операциями, а так же частотой вращения и реверсированием.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369"/>
              <w:rPr/>
            </w:pPr>
            <w:r>
              <w:rPr/>
              <w:t>автоматический подзаряд аккумуляторных батарей, обеспечивающий пуск и (или) питание средств автоматизации.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369"/>
              <w:rPr/>
            </w:pPr>
            <w:r>
              <w:rPr/>
              <w:t>автоматическая аварийно-предупредительная сигнализация и защита.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369"/>
              <w:rPr/>
            </w:pPr>
            <w:r>
              <w:rPr/>
              <w:t>индикация значений контролируемых параметров на местном щитке и (или) на дистанционном пульте.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426" w:hanging="142"/>
              <w:jc w:val="center"/>
              <w:rPr/>
            </w:pPr>
            <w:r>
              <w:rPr/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автоматическое регулирование частоты вращения.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автоматическое регулирование температуры в системах охлаждения и смазки.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местное и дистанционное управление пуском, остановом, предпусковыми и остановочными операциями, а так же частотой вращения и реверсированием.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автоматический подзаряд аккумуляторных батарей, обеспечивающий пуск и питание средств автоматизации.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автоматическая аварийно-предупредительная сигнализация и защита.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индикация значений контролируемых параметров на местном щитке и на дистанционном пульте.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дистанционное автоматизированное и (или) автоматическое управление пуском, остановом, предпусковыми и послеостановочными операциями.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дистанционное автоматизированное и (или) автоматическое управление частотой вращения и реверсированием при его наличии.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автоматический приём нагрузки при автономной работе или выдаче сигнала о готовности к приёму нагрузки.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автоматизация совместной работы двигателя, в том числе автоматический приём нагрузки в ходе синхронизации при параллельной работе дизель-генератора между собой или внешней сетью.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автоматическое поддержание двигателя в готовности к быстрому приёму нагрузки.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 xml:space="preserve"> </w:t>
            </w:r>
            <w:r>
              <w:rPr/>
              <w:t>автоматическое регулирование вязкости тяжелого топлива и автоматизированное управление перехода с одного вида топлива на другой.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>автоматизированный экстренный пуск и (или) останов.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425"/>
              <w:rPr/>
            </w:pPr>
            <w:r>
              <w:rPr/>
              <w:t xml:space="preserve">исполнительная сигнализация. 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426" w:hanging="142"/>
              <w:jc w:val="center"/>
              <w:rPr/>
            </w:pPr>
            <w:r>
              <w:rPr/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Тоже, что и для </w:t>
            </w:r>
            <w:r>
              <w:rPr>
                <w:lang w:val="en-US"/>
              </w:rPr>
              <w:t>II</w:t>
            </w:r>
            <w:r>
              <w:rPr/>
              <w:t xml:space="preserve"> степени автоматизации, но ещё помимо: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360"/>
              <w:rPr/>
            </w:pPr>
            <w:r>
              <w:rPr/>
              <w:t>автоматическое пополнение расходных емкостей: топлива, масла, охлаждающей жидкости и сжатого воздуха.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43" w:leader="none"/>
              </w:tabs>
              <w:ind w:left="743" w:hanging="360"/>
              <w:rPr/>
            </w:pPr>
            <w:r>
              <w:rPr/>
              <w:t>автоматизированное и (или) автоматическое управление вспомогательными агрегатами и (или) отдельными операциями.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426" w:hanging="142"/>
              <w:jc w:val="center"/>
              <w:rPr/>
            </w:pPr>
            <w:r>
              <w:rPr/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Аналогично, как и для </w:t>
            </w:r>
            <w:r>
              <w:rPr>
                <w:lang w:val="en-US"/>
              </w:rPr>
              <w:t>III</w:t>
            </w:r>
            <w:r>
              <w:rPr/>
              <w:t xml:space="preserve"> степени, но ещё помимо: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11" w:leader="none"/>
              </w:tabs>
              <w:ind w:left="711" w:hanging="360"/>
              <w:rPr/>
            </w:pPr>
            <w:r>
              <w:rPr/>
              <w:t>централизованное управление двигателем с помощью управляющих машин.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11" w:leader="none"/>
              </w:tabs>
              <w:ind w:left="711" w:hanging="360"/>
              <w:rPr/>
            </w:pPr>
            <w:r>
              <w:rPr/>
              <w:t>централизованный автоматический контроль.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clear" w:pos="708"/>
                <w:tab w:val="left" w:pos="711" w:leader="none"/>
                <w:tab w:val="left" w:pos="743" w:leader="none"/>
              </w:tabs>
              <w:ind w:left="711" w:hanging="360"/>
              <w:rPr/>
            </w:pPr>
            <w:r>
              <w:rPr/>
              <w:t>автоматизированное и (или) автоматическое техническое диагностирование состояния двигателя в целом и отдельных его частей.</w:t>
            </w:r>
          </w:p>
        </w:tc>
      </w:tr>
    </w:tbl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Основные требования к параметрам на дизель-генераторные станции по климатическому исполнению устанавливаются ГОСТом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Настоящий стандарт распространяется на все виды машин, приборов и других технических изделий и устанавливает макроклиматическое районирование земного шара, исполнения, категории, условия эксплуатации, хранения и транспортирования изделий в части воздействия климатических факторов внешней среды.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Изделия предназначают для эксплуатации в одном или нескольких макроклиматических районах, критерии, выделения которых указаны ниже, и изготавливают в климатических исполнениях, указанных в таблице 2.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right"/>
        <w:rPr>
          <w:sz w:val="24"/>
        </w:rPr>
      </w:pPr>
      <w:r>
        <w:rPr>
          <w:sz w:val="24"/>
        </w:rPr>
        <w:t>Таблица 2.</w:t>
      </w:r>
    </w:p>
    <w:tbl>
      <w:tblPr>
        <w:tblW w:w="1010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8122"/>
      </w:tblGrid>
      <w:tr>
        <w:trPr>
          <w:trHeight w:val="588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Обозначения (русское/ латинское)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</w:rPr>
              <w:t>Климатические исполнения изделий</w:t>
            </w:r>
          </w:p>
        </w:tc>
      </w:tr>
      <w:tr>
        <w:trPr>
          <w:cantSplit w:val="true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" w:hanging="68"/>
              <w:rPr>
                <w:b/>
                <w:b/>
                <w:bCs/>
              </w:rPr>
            </w:pPr>
            <w:r>
              <w:rPr>
                <w:b/>
                <w:bCs/>
              </w:rPr>
              <w:t>Изделия, предназначенные для эксплуатации на суше, реках и озёрах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 / </w:t>
            </w:r>
            <w:r>
              <w:rPr>
                <w:lang w:val="en-US"/>
              </w:rPr>
              <w:t>N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Для макроклиматического района с умеренным климатом 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УХЛ / </w:t>
            </w:r>
            <w:r>
              <w:rPr>
                <w:lang w:val="en-US"/>
              </w:rPr>
              <w:t>NF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района с умеренным и холодным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ТВ / </w:t>
            </w:r>
            <w:r>
              <w:rPr>
                <w:lang w:val="en-US"/>
              </w:rPr>
              <w:t>TH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района с влажным тропическим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ТС / </w:t>
            </w:r>
            <w:r>
              <w:rPr>
                <w:lang w:val="en-US"/>
              </w:rPr>
              <w:t>TA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района с сухим тропическим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Т / </w:t>
            </w:r>
            <w:r>
              <w:rPr>
                <w:lang w:val="en-US"/>
              </w:rPr>
              <w:t>T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района как с сухим, так и влажным тропическим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 / </w:t>
            </w:r>
            <w:r>
              <w:rPr>
                <w:lang w:val="en-US"/>
              </w:rPr>
              <w:t>U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всех макроклиматических районов на суше, кроме макроклиматического района с  очень холодным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Изделия, предназначенные для эксплуатации в макроклиматических районах с морским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 / </w:t>
            </w:r>
            <w:r>
              <w:rPr>
                <w:lang w:val="en-US"/>
              </w:rPr>
              <w:t>M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района с умеренно-холодным морским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ТМ / </w:t>
            </w:r>
            <w:r>
              <w:rPr>
                <w:lang w:val="en-US"/>
              </w:rPr>
              <w:t>MT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района с тропическим морским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ОМ / </w:t>
            </w:r>
            <w:r>
              <w:rPr>
                <w:lang w:val="en-US"/>
              </w:rPr>
              <w:t>MU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макроклиматического районов как с умеренно-холодным, так и тропическим морским климатом</w:t>
            </w:r>
          </w:p>
        </w:tc>
      </w:tr>
      <w:tr>
        <w:trPr>
          <w:cantSplit w:val="true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 / </w:t>
            </w:r>
            <w:r>
              <w:rPr>
                <w:lang w:val="en-US"/>
              </w:rPr>
              <w:t>W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677"/>
                <w:tab w:val="clear" w:pos="9355"/>
              </w:tabs>
              <w:rPr/>
            </w:pPr>
            <w:r>
              <w:rPr/>
              <w:t>Изделия, предназначенные для эксплуатации в всех макроклиматических районах на суше и на море, кроме макроклиматического района с очень холодным климатом</w:t>
            </w:r>
          </w:p>
        </w:tc>
      </w:tr>
    </w:tbl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К макроклиматическому району с умеренным климатом относятся районы, где средняя из ежегодных абсолютных максимумов температур воздуха равна или ниже +40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>С, а средняя из ежегодных абсолютных минимумов температур воздуха равна или выше -45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>С.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Выделяют из макроклиматического района с умеренным климатом макроклиматический подрайон с теплым умеренным подтипом макроклимата (ТУ) для которого средняя из ежегодных абсолютных минимумов температур воздуха равна или выше –25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>С.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К макроклиматическому району с холодным климатом относятся районы, в которых средняя из ежегодных абсолютных минимумов температур воздуха ниже -45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>С.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Изделия, размещённые на передвижных установках, предназначенные для поставок в район побережья Охотского (севернее устья р. Уда) и Берингова морей, изготавливаются в исполнении ХЛ.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К макроклиматическому району с холодным антарктическим климатом относятся районы, где минимальная температура ниже -60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>С.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4114800</wp:posOffset>
            </wp:positionH>
            <wp:positionV relativeFrom="paragraph">
              <wp:posOffset>492125</wp:posOffset>
            </wp:positionV>
            <wp:extent cx="2056130" cy="3529330"/>
            <wp:effectExtent l="0" t="0" r="0" b="0"/>
            <wp:wrapTight wrapText="bothSides">
              <wp:wrapPolygon edited="0">
                <wp:start x="-133" y="0"/>
                <wp:lineTo x="-133" y="21503"/>
                <wp:lineTo x="21595" y="21503"/>
                <wp:lineTo x="21595" y="0"/>
                <wp:lineTo x="-133" y="0"/>
              </wp:wrapPolygon>
            </wp:wrapTight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</w:t>
      </w:r>
      <w:r>
        <w:rPr>
          <w:sz w:val="24"/>
        </w:rPr>
        <w:t xml:space="preserve"> макроклиматическому району с сухим тропическим климатом относятся районы, в которых средняя из ежегодных абсолютных максимумов температур воздуха выше +40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>С, и в которых значения сочетания «среднегодовая относительная влажность–среднегодовая температура» соответствуют классификационной группе 5 черт. 1.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К макроклиматическому району с умеренно-холодным морским климатом относятся моря, океаны и прибрежная территория в пределах непосредственного воздействия морской воды, расположенные севернее 30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 xml:space="preserve"> северной широты или южнее 30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 xml:space="preserve"> южной широты.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4914900</wp:posOffset>
                </wp:positionH>
                <wp:positionV relativeFrom="paragraph">
                  <wp:posOffset>1345565</wp:posOffset>
                </wp:positionV>
                <wp:extent cx="686435" cy="34353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Черт. 1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387pt;margin-top:105.95pt;width:53.95pt;height:26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Черт. 1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К макроклиматическому району с тропическим морским климатом относятся моря, океаны и прибрежная территория в пределах непосредственного воздействия морской воды, расположенные между 30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 xml:space="preserve"> северной широты и 30</w:t>
      </w:r>
      <w:r>
        <w:rPr>
          <w:rFonts w:eastAsia="Symbol" w:cs="Symbol" w:ascii="Symbol" w:hAnsi="Symbol"/>
          <w:sz w:val="24"/>
        </w:rPr>
        <w:t>°</w:t>
      </w:r>
      <w:r>
        <w:rPr>
          <w:sz w:val="24"/>
        </w:rPr>
        <w:t xml:space="preserve"> южной широты. 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left"/>
        <w:rPr>
          <w:sz w:val="24"/>
        </w:rPr>
      </w:pPr>
      <w:r>
        <w:rPr>
          <w:sz w:val="24"/>
        </w:rPr>
        <w:t>В зависимости от места размещения изделия при эксплуатации в воздушной среде на высоте до 4300 м (в том числе под землёй и под водой) изготавливают по категориям размещения изделий, указанным в таблице 3.</w:t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right"/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right"/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right"/>
        <w:rPr>
          <w:sz w:val="24"/>
        </w:rPr>
      </w:pPr>
      <w:r>
        <w:rPr>
          <w:sz w:val="24"/>
        </w:rPr>
      </w:r>
    </w:p>
    <w:p>
      <w:pPr>
        <w:pStyle w:val="Style16"/>
        <w:tabs>
          <w:tab w:val="clear" w:pos="708"/>
          <w:tab w:val="left" w:pos="900" w:leader="none"/>
        </w:tabs>
        <w:ind w:firstLine="720"/>
        <w:jc w:val="right"/>
        <w:rPr>
          <w:sz w:val="24"/>
        </w:rPr>
      </w:pPr>
      <w:r>
        <w:rPr>
          <w:sz w:val="24"/>
        </w:rPr>
        <w:t>Таблица 3.</w:t>
      </w:r>
    </w:p>
    <w:tbl>
      <w:tblPr>
        <w:tblW w:w="10137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9"/>
        <w:gridCol w:w="8517"/>
      </w:tblGrid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Категории (обозначение)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категорий</w:t>
            </w:r>
          </w:p>
        </w:tc>
      </w:tr>
      <w:tr>
        <w:trPr>
          <w:cantSplit w:val="true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Основные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на открытом воздухе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под навесом или в помещениях, где колебания температуры и влажности воздуха отличаются несущественно от колебаний на открытом воздухе и имеется сравнительно свободный доступ наружного воздуха.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 эксплуатации в закрытых помещениях с естественной вентиляцией без искусственно регулируемых климатических условий, где колебания температуры и влажности воздуха и воздействия песка и пыли существенно меньше, чем на открытом воздухе.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помещениях с искусственно регулируемыми климатическими условиями, например в закрытых отапливаемых или охлаждаемых и вентилируемых производственных и других, в том числе хорошо вентилируемых подземных помещениях.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помещениях с повышенной влажностью</w:t>
            </w:r>
          </w:p>
        </w:tc>
      </w:tr>
      <w:tr>
        <w:trPr>
          <w:cantSplit w:val="true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Дополнительные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хранения в процессе эксплуатации в помещении категории 4 и работы, как в условиях категории 4, так и в других условиях, в том числе на открытом воздухе.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качестве встроенных элементов внутри комплектующих изделий категории 1,1.1.,2, конструкция которых исключает возможность конденсации влаги на встроенных элементах.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нерегулярно отапливаемых помещениях.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помещениях с кондиционированным воздухом.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лабораториях, жилых и других подобного типа помещениях.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Для эксплуатации в качестве встроенных элементов внутри комплектных изделий категории 5, конструкция которых исключает возможность конденсации влаги на встроенных элементах.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260" w:right="926" w:header="0" w:top="720" w:footer="692" w:bottom="7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240"/>
      <w:ind w:right="3801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872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872"/>
    <w:qFormat/>
    <w:pPr>
      <w:keepNext w:val="true"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Normal"/>
    <w:link w:val="872"/>
    <w:qFormat/>
    <w:pPr>
      <w:keepNext w:val="true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Normal"/>
    <w:link w:val="872"/>
    <w:qFormat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Normal"/>
    <w:link w:val="872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87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87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872"/>
    <w:qFormat/>
    <w:pPr>
      <w:spacing w:before="240" w:after="60"/>
      <w:outlineLvl w:val="6"/>
    </w:pPr>
    <w:rPr/>
  </w:style>
  <w:style w:type="paragraph" w:styleId="8">
    <w:name w:val="Heading 8"/>
    <w:basedOn w:val="Normal"/>
    <w:link w:val="872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872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Heading1Char">
    <w:name w:val="Heading 1 Char"/>
    <w:link w:val="69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9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9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70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70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70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70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70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71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714"/>
    <w:uiPriority w:val="10"/>
    <w:qFormat/>
    <w:rPr>
      <w:sz w:val="48"/>
      <w:szCs w:val="48"/>
    </w:rPr>
  </w:style>
  <w:style w:type="character" w:styleId="SubtitleChar">
    <w:name w:val="Subtitle Char"/>
    <w:link w:val="716"/>
    <w:uiPriority w:val="11"/>
    <w:qFormat/>
    <w:rPr>
      <w:sz w:val="24"/>
      <w:szCs w:val="24"/>
    </w:rPr>
  </w:style>
  <w:style w:type="character" w:styleId="QuoteChar">
    <w:name w:val="Quote Char"/>
    <w:link w:val="718"/>
    <w:uiPriority w:val="29"/>
    <w:qFormat/>
    <w:rPr>
      <w:i/>
    </w:rPr>
  </w:style>
  <w:style w:type="character" w:styleId="IntenseQuoteChar">
    <w:name w:val="Intense Quote Char"/>
    <w:link w:val="720"/>
    <w:uiPriority w:val="30"/>
    <w:qFormat/>
    <w:rPr>
      <w:i/>
    </w:rPr>
  </w:style>
  <w:style w:type="character" w:styleId="HeaderChar">
    <w:name w:val="Header Char"/>
    <w:link w:val="722"/>
    <w:uiPriority w:val="99"/>
    <w:qFormat/>
    <w:rPr/>
  </w:style>
  <w:style w:type="character" w:styleId="FooterChar">
    <w:name w:val="Footer Char"/>
    <w:link w:val="724"/>
    <w:uiPriority w:val="99"/>
    <w:qFormat/>
    <w:rPr/>
  </w:style>
  <w:style w:type="character" w:styleId="CaptionChar">
    <w:name w:val="Caption Char"/>
    <w:link w:val="72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5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5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link w:val="872"/>
    <w:semiHidden/>
    <w:qFormat/>
    <w:rPr/>
  </w:style>
  <w:style w:type="character" w:styleId="Style9">
    <w:name w:val="Знак сноски"/>
    <w:basedOn w:val="Style8"/>
    <w:link w:val="872"/>
    <w:semiHidden/>
    <w:qFormat/>
    <w:rPr/>
  </w:style>
  <w:style w:type="character" w:styleId="Style10">
    <w:name w:val="Номер страницы"/>
    <w:basedOn w:val="Style8"/>
    <w:link w:val="872"/>
    <w:rPr/>
  </w:style>
  <w:style w:type="character" w:styleId="Style11">
    <w:name w:val="Гиперссылка"/>
    <w:basedOn w:val="Style8"/>
    <w:link w:val="872"/>
    <w:qFormat/>
    <w:rPr>
      <w:color w:val="0000FF"/>
      <w:u w:val="single"/>
    </w:rPr>
  </w:style>
  <w:style w:type="character" w:styleId="Style12">
    <w:name w:val="Просмотренная гиперссылка"/>
    <w:basedOn w:val="Style8"/>
    <w:link w:val="872"/>
    <w:qFormat/>
    <w:rPr>
      <w:color w:val="80008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/>
  </w:style>
  <w:style w:type="character" w:styleId="ListLabel2">
    <w:name w:val="ListLabel 2"/>
    <w:qFormat/>
    <w:rPr>
      <w:b w:val="false"/>
      <w:sz w:val="24"/>
    </w:rPr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Wingdings" w:cs="Wingdings"/>
    </w:rPr>
  </w:style>
  <w:style w:type="character" w:styleId="ListLabel13">
    <w:name w:val="ListLabel 13"/>
    <w:qFormat/>
    <w:rPr>
      <w:rFonts w:eastAsia="Symbol" w:cs="Symbol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Wingdings" w:cs="Wingdings"/>
    </w:rPr>
  </w:style>
  <w:style w:type="character" w:styleId="ListLabel16">
    <w:name w:val="ListLabel 16"/>
    <w:qFormat/>
    <w:rPr>
      <w:rFonts w:eastAsia="Symbol" w:cs="Symbol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Wingdings" w:cs="Wingdings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/>
  </w:style>
  <w:style w:type="character" w:styleId="ListLabel26">
    <w:name w:val="ListLabel 26"/>
    <w:qFormat/>
    <w:rPr/>
  </w:style>
  <w:style w:type="character" w:styleId="ListLabel27">
    <w:name w:val="ListLabel 27"/>
    <w:qFormat/>
    <w:rPr/>
  </w:style>
  <w:style w:type="character" w:styleId="ListLabel28">
    <w:name w:val="ListLabel 28"/>
    <w:qFormat/>
    <w:rPr/>
  </w:style>
  <w:style w:type="character" w:styleId="ListLabel29">
    <w:name w:val="ListLabel 29"/>
    <w:qFormat/>
    <w:rPr/>
  </w:style>
  <w:style w:type="character" w:styleId="ListLabel30">
    <w:name w:val="ListLabel 30"/>
    <w:qFormat/>
    <w:rPr/>
  </w:style>
  <w:style w:type="character" w:styleId="ListLabel31">
    <w:name w:val="ListLabel 31"/>
    <w:qFormat/>
    <w:rPr/>
  </w:style>
  <w:style w:type="character" w:styleId="ListLabel32">
    <w:name w:val="ListLabel 32"/>
    <w:qFormat/>
    <w:rPr/>
  </w:style>
  <w:style w:type="character" w:styleId="ListLabel33">
    <w:name w:val="ListLabel 33"/>
    <w:qFormat/>
    <w:rPr/>
  </w:style>
  <w:style w:type="character" w:styleId="ListLabel34">
    <w:name w:val="ListLabel 34"/>
    <w:qFormat/>
    <w:rPr/>
  </w:style>
  <w:style w:type="character" w:styleId="ListLabel35">
    <w:name w:val="ListLabel 35"/>
    <w:qFormat/>
    <w:rPr/>
  </w:style>
  <w:style w:type="character" w:styleId="ListLabel36">
    <w:name w:val="ListLabel 36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link w:val="872"/>
    <w:qFormat/>
    <w:pPr>
      <w:spacing w:lineRule="auto" w:line="360"/>
      <w:jc w:val="center"/>
    </w:pPr>
    <w:rPr>
      <w:sz w:val="32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0"/>
      <w:sz w:val="24"/>
      <w:szCs w:val="20"/>
      <w:lang w:val="ru-RU" w:eastAsia="zh-CN" w:bidi="ar-SA"/>
    </w:rPr>
  </w:style>
  <w:style w:type="paragraph" w:styleId="Style18">
    <w:name w:val="Title"/>
    <w:basedOn w:val="Normal"/>
    <w:link w:val="71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link w:val="872"/>
    <w:qFormat/>
    <w:pPr/>
    <w:rPr>
      <w:sz w:val="28"/>
    </w:rPr>
  </w:style>
  <w:style w:type="paragraph" w:styleId="Quote">
    <w:name w:val="Quote"/>
    <w:basedOn w:val="Normal"/>
    <w:link w:val="71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72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Header"/>
    <w:basedOn w:val="Normal"/>
    <w:link w:val="8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8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note Text"/>
    <w:basedOn w:val="Normal"/>
    <w:link w:val="85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85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Схема документа"/>
    <w:basedOn w:val="Normal"/>
    <w:link w:val="872"/>
    <w:semiHidden/>
    <w:qFormat/>
    <w:pPr>
      <w:shd w:val="clear" w:color="auto" w:fill="000080"/>
    </w:pPr>
    <w:rPr>
      <w:rFonts w:ascii="Tahoma" w:hAnsi="Tahoma"/>
      <w:sz w:val="20"/>
      <w:szCs w:val="20"/>
    </w:rPr>
  </w:style>
  <w:style w:type="paragraph" w:styleId="Style25">
    <w:name w:val="Содержимое врезки"/>
    <w:basedOn w:val="Normal"/>
    <w:qFormat/>
    <w:pPr/>
    <w:rPr/>
  </w:style>
  <w:style w:type="numbering" w:styleId="Style26">
    <w:name w:val="Нет списка"/>
    <w:link w:val="872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11</Pages>
  <Words>1531</Words>
  <Characters>10999</Characters>
  <CharactersWithSpaces>12232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2023-08-03T15:09:38Z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